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Per l’anno 2025 il Rendiconto non è stato ancora approvato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